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DCCF3F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B50EBF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97D0A">
        <w:rPr>
          <w:rFonts w:ascii="Arial" w:hAnsi="Arial" w:cs="Arial"/>
          <w:b/>
          <w:color w:val="auto"/>
          <w:sz w:val="24"/>
          <w:szCs w:val="24"/>
        </w:rPr>
        <w:t>2023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344D78E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68F2F5D6" w:rsidR="00E27EB4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cs="Arial"/>
                <w:color w:val="000000" w:themeColor="text1"/>
                <w:lang w:eastAsia="pl-PL"/>
              </w:rPr>
              <w:t>(zgodnie z</w:t>
            </w:r>
            <w:r w:rsidR="00C94446">
              <w:rPr>
                <w:rFonts w:cs="Arial"/>
                <w:color w:val="000000" w:themeColor="text1"/>
                <w:lang w:eastAsia="pl-PL"/>
              </w:rPr>
              <w:t xml:space="preserve"> zatwierdzonym w dniu 9 maja 2022</w:t>
            </w:r>
            <w:r>
              <w:rPr>
                <w:rFonts w:cs="Arial"/>
                <w:color w:val="000000" w:themeColor="text1"/>
                <w:lang w:eastAsia="pl-PL"/>
              </w:rPr>
              <w:t xml:space="preserve">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1B241D52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ED20961" w:rsidR="00907F6D" w:rsidRPr="00D42D26" w:rsidRDefault="00B50EBF" w:rsidP="00A97D0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062F035E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50EBF">
              <w:rPr>
                <w:rFonts w:ascii="Arial" w:hAnsi="Arial" w:cs="Arial"/>
                <w:sz w:val="18"/>
                <w:szCs w:val="20"/>
              </w:rPr>
              <w:t>82,78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5AEFADBE" w:rsidR="00BF6D43" w:rsidRPr="00D42D26" w:rsidRDefault="00E702B2" w:rsidP="00A97D0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3165D0">
              <w:rPr>
                <w:rFonts w:ascii="Arial" w:hAnsi="Arial" w:cs="Arial"/>
                <w:sz w:val="18"/>
                <w:szCs w:val="20"/>
              </w:rPr>
              <w:t>7</w:t>
            </w:r>
            <w:r w:rsidR="00A97D0A">
              <w:rPr>
                <w:rFonts w:ascii="Arial" w:hAnsi="Arial" w:cs="Arial"/>
                <w:sz w:val="18"/>
                <w:szCs w:val="20"/>
              </w:rPr>
              <w:t>8</w:t>
            </w:r>
            <w:r w:rsidR="003165D0">
              <w:rPr>
                <w:rFonts w:ascii="Arial" w:hAnsi="Arial" w:cs="Arial"/>
                <w:sz w:val="18"/>
                <w:szCs w:val="20"/>
              </w:rPr>
              <w:t>,</w:t>
            </w:r>
            <w:r w:rsidR="00A97D0A">
              <w:rPr>
                <w:rFonts w:ascii="Arial" w:hAnsi="Arial" w:cs="Arial"/>
                <w:sz w:val="18"/>
                <w:szCs w:val="20"/>
              </w:rPr>
              <w:t>36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3859F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>4. szt.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3FB99D7" w:rsidR="00477835" w:rsidRDefault="006C44F7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C44F7">
              <w:rPr>
                <w:rFonts w:cs="Arial"/>
                <w:lang w:eastAsia="pl-PL"/>
              </w:rPr>
              <w:t>09-2022</w:t>
            </w:r>
          </w:p>
        </w:tc>
        <w:tc>
          <w:tcPr>
            <w:tcW w:w="2802" w:type="dxa"/>
          </w:tcPr>
          <w:p w14:paraId="39171622" w14:textId="77777777" w:rsidR="006C44F7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A68E14" w14:textId="0D176C8F" w:rsidR="00477835" w:rsidRPr="00D42D26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01.04.2022-30.09.2022 objęto wsparciem 433 pracowników JST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0616DB67" w:rsidR="00477835" w:rsidRDefault="00A62C56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62C56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8CC5D4B" w14:textId="77777777" w:rsidR="00477835" w:rsidRDefault="00A62C56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C23FA6" w14:textId="2F66359F" w:rsidR="00A62C56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przedmiotowym okresie przeszkolono przedstawicieli 236 JST. Łącznie od początku realizacji projektu objęto wsparciem szkoleniowym 653 JST,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związku z czym wartość docelowa wskaźnika (617 JST) została zrealizowana.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0323F093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lastRenderedPageBreak/>
              <w:t>Objęcie - w okresie 01.10.2022-31.03.2023 -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3685359A" w:rsidR="00477835" w:rsidRDefault="00B50EBF" w:rsidP="00B50EBF">
            <w:pPr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706F66C4" w14:textId="77777777" w:rsidR="00477835" w:rsidRDefault="00A97D0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F46D98" w14:textId="4099C853" w:rsidR="00F04996" w:rsidRPr="00D42D26" w:rsidRDefault="00F04996" w:rsidP="00BB50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01.10.2022-31.03.2023 objęto wsparciem 475 pracowników JST. </w:t>
            </w:r>
            <w:r w:rsidR="00BB50FC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artość docelowa –</w:t>
            </w:r>
            <w:r w:rsidR="00BB50FC">
              <w:rPr>
                <w:rFonts w:ascii="Arial" w:hAnsi="Arial" w:cs="Arial"/>
                <w:sz w:val="18"/>
                <w:szCs w:val="18"/>
              </w:rPr>
              <w:t xml:space="preserve"> 1000 osób – została zrealizowana.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3AB93769" w:rsidR="00F716E0" w:rsidRDefault="00E873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7F23F3D8" w14:textId="28D04B42" w:rsidR="00F716E0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C14481F" w14:textId="119B179F" w:rsidR="00D02C5C" w:rsidRPr="00D42D26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przedmiotowym okresie przeszkolono przedstawicieli 70 JST. Łącznie od początku realizacji projektu objęto wsparciem szkoleniowym 723 JST, w związku z czym wartość docelowa wskaźnika (617 JST) została zrealizowana.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55BA8EF" w:rsidR="00477835" w:rsidRDefault="00E873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130E5DB" w14:textId="0FC6B69A" w:rsidR="00477835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93746E" w14:textId="342C34A3" w:rsidR="00F04996" w:rsidRPr="00D42D26" w:rsidRDefault="00E873D3" w:rsidP="00E873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 rozliczeniowym objęto wsparciem 3 osoby. </w:t>
            </w:r>
            <w:r w:rsidR="00F04996">
              <w:rPr>
                <w:rFonts w:ascii="Arial" w:hAnsi="Arial" w:cs="Arial"/>
                <w:sz w:val="18"/>
                <w:szCs w:val="18"/>
              </w:rPr>
              <w:t xml:space="preserve">W związku z realizacją wskaźnika w poprzednim okresie sprawozdawczym nie planuje się </w:t>
            </w:r>
            <w:r>
              <w:rPr>
                <w:rFonts w:ascii="Arial" w:hAnsi="Arial" w:cs="Arial"/>
                <w:sz w:val="18"/>
                <w:szCs w:val="18"/>
              </w:rPr>
              <w:t>kontynuacji</w:t>
            </w:r>
            <w:r w:rsidR="00F04996">
              <w:rPr>
                <w:rFonts w:ascii="Arial" w:hAnsi="Arial" w:cs="Arial"/>
                <w:sz w:val="18"/>
                <w:szCs w:val="18"/>
              </w:rPr>
              <w:t xml:space="preserve"> wsparcia</w:t>
            </w:r>
            <w:r>
              <w:rPr>
                <w:rFonts w:ascii="Arial" w:hAnsi="Arial" w:cs="Arial"/>
                <w:sz w:val="18"/>
                <w:szCs w:val="18"/>
              </w:rPr>
              <w:t xml:space="preserve"> w przedmiotowym zakresie</w:t>
            </w:r>
            <w:r w:rsidR="00F049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asynchronicznej (Podręcznik SMUP, videoporadniki,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 xml:space="preserve">4. Liczba usług, dla których określono wskaźnik </w:t>
            </w:r>
            <w:r w:rsidRPr="00DE7DCB">
              <w:rPr>
                <w:sz w:val="18"/>
                <w:szCs w:val="18"/>
                <w:lang w:val="pl-PL"/>
              </w:rPr>
              <w:lastRenderedPageBreak/>
              <w:t>dostępności odnoszący się  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0825C21B" w:rsidR="00935E47" w:rsidRPr="00D42D26" w:rsidRDefault="00E873D3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723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6F9AE649" w:rsidR="006132D4" w:rsidRDefault="00BB50FC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– </w:t>
            </w:r>
            <w:r w:rsidR="00937348">
              <w:rPr>
                <w:rFonts w:ascii="Arial" w:hAnsi="Arial" w:cs="Arial"/>
                <w:sz w:val="18"/>
                <w:szCs w:val="18"/>
              </w:rPr>
              <w:t>1281</w:t>
            </w:r>
            <w:r w:rsidR="006132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84E046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40BCF16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4147FDF" w14:textId="77777777" w:rsidR="005F4F89" w:rsidRPr="005F4F89" w:rsidRDefault="005F4F89" w:rsidP="005F4F89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217A51AD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6C9C0E25" w14:textId="77777777" w:rsidR="005F4F89" w:rsidRPr="005F4F89" w:rsidRDefault="005F4F89" w:rsidP="005F4F89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>– wersja demonstracyjna; HUB Samorządowy – demonstracyjna wersja repozytorium (Baza danych); API HUB – demonstracyjna 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0494D3C6" w:rsidR="006132D4" w:rsidRDefault="00D25F3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0F2E5E6A" w14:textId="77777777" w:rsidR="005F4F89" w:rsidRPr="005F4F89" w:rsidRDefault="00BB059E" w:rsidP="0042377B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F4F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F4F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F4F8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F4F89">
        <w:rPr>
          <w:rFonts w:ascii="Arial" w:hAnsi="Arial" w:cs="Arial"/>
          <w:color w:val="0070C0"/>
        </w:rPr>
        <w:t xml:space="preserve"> </w:t>
      </w:r>
      <w:r w:rsidR="00B41415" w:rsidRPr="005F4F89">
        <w:rPr>
          <w:rFonts w:ascii="Arial" w:hAnsi="Arial" w:cs="Arial"/>
          <w:color w:val="0070C0"/>
        </w:rPr>
        <w:t xml:space="preserve"> </w:t>
      </w:r>
    </w:p>
    <w:p w14:paraId="3DDCF603" w14:textId="00E8C62E" w:rsidR="00CF2E64" w:rsidRPr="005F4F89" w:rsidRDefault="00CF2E64" w:rsidP="005F4F89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5F4F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Ryzyko zmian rynkowych związanych ze zmianami cen usług podczas realizacji Projektu – m.in. wzrost kosztów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Dogłębna analiza związana z różnymi aspektami budowy i wdrożenia systemu.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Spodziewanym efektem będzie zapewnienie zgodności kluczowych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System motywacyjny dla członków zespołu projektowego. Wprowadzenie regularnego raportowania dla kierownictwa Projektu, ze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44D18327" w:rsidR="00663B8D" w:rsidRPr="00D42D26" w:rsidRDefault="00937348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9E547C" w14:textId="77777777" w:rsidR="00D42D26" w:rsidRDefault="00D42D26" w:rsidP="00D42D2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  <w:p w14:paraId="5D2BA0FB" w14:textId="731BE09A" w:rsidR="00D25F3D" w:rsidRPr="00D25F3D" w:rsidRDefault="00D25F3D" w:rsidP="00D25F3D"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 zmiana szacowania ryzyka w stosunku do poprzedniego okresu sprawozdawczego (zgodnie ze zaktualizowanym OZPI).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5ACC80B6" w14:textId="16F6CA8D" w:rsidR="00A92887" w:rsidRPr="005F4F89" w:rsidRDefault="00BB059E" w:rsidP="005F4F8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sectPr w:rsidR="00A92887" w:rsidRPr="005F4F89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5FF53" w14:textId="77777777" w:rsidR="0097668E" w:rsidRDefault="0097668E" w:rsidP="00BB2420">
      <w:pPr>
        <w:spacing w:after="0" w:line="240" w:lineRule="auto"/>
      </w:pPr>
      <w:r>
        <w:separator/>
      </w:r>
    </w:p>
  </w:endnote>
  <w:endnote w:type="continuationSeparator" w:id="0">
    <w:p w14:paraId="03715224" w14:textId="77777777" w:rsidR="0097668E" w:rsidRDefault="0097668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A3600" w14:textId="77777777" w:rsidR="005F4F89" w:rsidRDefault="005F4F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6958F80" w:rsidR="00E873D3" w:rsidRDefault="00E873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4F8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F4F89">
              <w:rPr>
                <w:b/>
                <w:bCs/>
                <w:noProof/>
              </w:rPr>
              <w:t>9</w:t>
            </w:r>
          </w:p>
          <w:bookmarkStart w:id="1" w:name="_GoBack" w:displacedByCustomXml="next"/>
          <w:bookmarkEnd w:id="1" w:displacedByCustomXml="next"/>
        </w:sdtContent>
      </w:sdt>
    </w:sdtContent>
  </w:sdt>
  <w:p w14:paraId="402AEB21" w14:textId="77777777" w:rsidR="00E873D3" w:rsidRDefault="00E873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A47F1" w14:textId="77777777" w:rsidR="005F4F89" w:rsidRDefault="005F4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969BB" w14:textId="77777777" w:rsidR="0097668E" w:rsidRDefault="0097668E" w:rsidP="00BB2420">
      <w:pPr>
        <w:spacing w:after="0" w:line="240" w:lineRule="auto"/>
      </w:pPr>
      <w:r>
        <w:separator/>
      </w:r>
    </w:p>
  </w:footnote>
  <w:footnote w:type="continuationSeparator" w:id="0">
    <w:p w14:paraId="293D0746" w14:textId="77777777" w:rsidR="0097668E" w:rsidRDefault="0097668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873D3" w:rsidRDefault="00E873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65DB6" w14:textId="77777777" w:rsidR="005F4F89" w:rsidRDefault="005F4F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DBF29" w14:textId="77777777" w:rsidR="005F4F89" w:rsidRDefault="005F4F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FC240" w14:textId="77777777" w:rsidR="005F4F89" w:rsidRDefault="005F4F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27C"/>
    <w:rsid w:val="00003526"/>
    <w:rsid w:val="00003CB0"/>
    <w:rsid w:val="00006E59"/>
    <w:rsid w:val="00010BC7"/>
    <w:rsid w:val="00011C9E"/>
    <w:rsid w:val="00043DD9"/>
    <w:rsid w:val="00044214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165D0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23A26"/>
    <w:rsid w:val="00425046"/>
    <w:rsid w:val="004350B8"/>
    <w:rsid w:val="0044014E"/>
    <w:rsid w:val="00444AAB"/>
    <w:rsid w:val="00450089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F89"/>
    <w:rsid w:val="00600AE4"/>
    <w:rsid w:val="006054AA"/>
    <w:rsid w:val="006132D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4F7"/>
    <w:rsid w:val="006C78AE"/>
    <w:rsid w:val="006C78E9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D6E20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37348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7668E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2C56"/>
    <w:rsid w:val="00A64F91"/>
    <w:rsid w:val="00A65ECE"/>
    <w:rsid w:val="00A67685"/>
    <w:rsid w:val="00A728AE"/>
    <w:rsid w:val="00A804AE"/>
    <w:rsid w:val="00A856B9"/>
    <w:rsid w:val="00A86449"/>
    <w:rsid w:val="00A87C1C"/>
    <w:rsid w:val="00A92887"/>
    <w:rsid w:val="00A97D0A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50EBF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0F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94446"/>
    <w:rsid w:val="00CA1AFA"/>
    <w:rsid w:val="00CA516B"/>
    <w:rsid w:val="00CC7E21"/>
    <w:rsid w:val="00CD69D0"/>
    <w:rsid w:val="00CE74F9"/>
    <w:rsid w:val="00CE7777"/>
    <w:rsid w:val="00CF2E64"/>
    <w:rsid w:val="00D02C5C"/>
    <w:rsid w:val="00D02F6D"/>
    <w:rsid w:val="00D22C21"/>
    <w:rsid w:val="00D25CFE"/>
    <w:rsid w:val="00D25F3D"/>
    <w:rsid w:val="00D42D26"/>
    <w:rsid w:val="00D4607F"/>
    <w:rsid w:val="00D57025"/>
    <w:rsid w:val="00D57765"/>
    <w:rsid w:val="00D60CAA"/>
    <w:rsid w:val="00D73306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873D3"/>
    <w:rsid w:val="00E921BB"/>
    <w:rsid w:val="00EA0B4F"/>
    <w:rsid w:val="00EC2AFC"/>
    <w:rsid w:val="00F04996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0DF41-6731-442F-A3A7-BB183053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2310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2023-07-13T07:26:00Z</dcterms:created>
  <dcterms:modified xsi:type="dcterms:W3CDTF">2023-07-13T07:53:00Z</dcterms:modified>
</cp:coreProperties>
</file>